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20"/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УТВЕРЖДЕНА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4820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4820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приказом министерства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4820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образования Ставропольского края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                                                        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т 11 февраля 2025 № 159-пр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Инструкция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для члена государственной экзаменационной комиссии,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привлекаемого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к проведению государственной итоговой аттестации    по образовательным программам среднего общего образования в форме государственного выпускного экзамена в пункте проведения экзамена                      в Ставропольском крае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в 202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году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Член государственной экзаменационной комиссии, обеспечивающий соблюдение требований Порядка проведения государственной итоговой аттестации по образовательным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программам среднего общего образования,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утвержденного приказом Министерства просвещения Российской Федерации и Федеральной службы по надзору в сфере образования и науки от 04 апреля 2023 года № 233/552 (далее соответственно – член ГЭК, Порядок проведения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ГИА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) в пунктах проведения государственного выпускного экзамена (далее соответственно – ППЭ, ГВЭ) выполняет следующие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функции и организационные задачи: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решению председателя государственной экзаменационной комиссии Ставропольского края по проведению государственной итоговой аттестации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образовательным программам среднего общего образования (далее соответственно – ГЭК,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ГИА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 не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позднее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чем за две недели до начала экзаменов проводит проверку готовности ППЭ;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осуществляет контроль за 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облюдением требований Порядка проведения ГИА в ППЭ;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печати ЭМ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муниципальном органе управления образованием Ставропольского края (далее – МОУО)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обеспечивает доставку экзаменационных материалов (далее – ЭМ) на бумажных носителях, упакованных в специальные пакеты с обеспечением конфиденциальности и безопасности содержащейся в них информации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день проведения ГВЭ по соответствующему учебному предмету в ППЭ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ЭМ для участников экзаменов в общеобразовательных организациях при исправительных учреждения и в ППЭ, организованных на дому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направляются региональным центром обработки информации в МОУО по защищенному каналу связи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При этом, 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тветственное лицо за подготовку и проведение ГИА в МОУО организует видеозапись процесса печати и передачи ЭМ члену ГЭК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идеозапись ответственный муниципальный администратор передает в РЦОИ на хранителе информации в день проведения экзамена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ЭМ должны быть получены членом ГЭК в МОУО и переданы руководителю ППЭ не позднее 8.00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проведения ГВЭ в отдельных аудиториях пунктов проведения единого государственного экзамена (далее – ЕГЭ) ЭМ ГВЭ направляют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РЦОИ в ППЭ посредством сети «Интернет» по защищенному каналу связи. Печать ЭМ в данном случае производится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штабе ППЭ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 передается в аудитории ГВЭ;</w:t>
      </w:r>
      <w:r>
        <w:rPr>
          <w:rFonts w:ascii="Times New Roman" w:hAnsi="Times New Roman" w:cs="Times New Roman"/>
          <w:strike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осуществляет взаимодействие с лицами, присутствующими в ППЭ, по обеспечению соблюдения требований Порядка проведения ГИА;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выявления нарушений Порядка проведения ГИА принимает решение об удалении из ППЭ участников ГВЭ, а также иных лиц (в том числе неустановленных), находящихся в ППЭ;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согласованию с председателем ГЭК принимает решение об остановке экзамена в ППЭ или отдельных аудиториях ППЭ. К условиям, позволяющим остановить проведение экзамена в ППЭ и (или) отдельной аудитории относятся неявка в течение двух часов от начала экзамена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(экзамены начинаются в 10.00 по местному времени) участников ГВЭ, распределенных в данный ППЭ и (или) отдельную аудиторию ППЭ, а также отсутствие средств видеонаблюдения, неисправного состояния или отключения указанных средств во время проведения экзамена.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Членом ГЭК назначается лицо, прошедшее соответствующую подготовку. Член ГЭК не должен являться: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близким родственником, а также супругом, усыновленным, усыновителем участников ГВЭ, сдающих экзамен в данном ППЭ;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педагогическим работником, являющимся учителем участников ГВЭ, сдающих экзамен в данном ППЭ.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Член ГЭК несет ответственность за: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целостность, полноту и сохранность ЭМ при передаче их в ППЭ в день экзамена и из ППЭ в РЦОИ для последующей обработки;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своевременность проведения проверки фактов нарушения Порядка проведения ГИА в ППЭ, в том числе в случае подачи участником ГВЭ апелляции о нарушении Порядка проведения ГИА;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соблюдение информационной безопасности на всех этапах проведения ГВЭ.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Член ГЭК фиксирует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все случаи нарушения Порядка в ППЭ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Подготовка к проведению ГВЭ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Члену ГЭК необходимо помнить, что экзамен проводится в спокойной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br/>
        <w:t xml:space="preserve">и доброжелательной обстановке.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В день проведения экзамена члену ГЭК в ППЭ запрещается: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оказывать содействие участникам ГВЭ,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выносить из аудиторий и ППЭ черновики, ЭМ на бумажном и (или) электронном носителях за исключением направления запечатанных пакетов с ЭМ, электронными носителями с файлами, содержащими ответы участников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ГИА на задания контрольных измерительных материалов (далее – КИМ) из ППЭ в РЦОИ;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фотографировать ЭМ, черновики;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покидать ППЭ в день проведения экзамена (до окончания процедур, предусмотренных Порядком проведения ГИА);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пользоваться средствами связи, электронно-вычислительной техникой, фото-, аудио- и 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идеоаппаратурой, справочными материалами, письменными заметками и иными средствами хранения и передачи информации вне штаба ППЭ (пользование указанными предметами и техническими устройствами допускается только в штабе ППЭ в случае служебной необходимости).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Подготовка к проведению ГВЭ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Член ГЭК проходит подготовку по порядку исполнения своих обязанностей в период проведения ГВЭ, в том числе знакомится с: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нормативными правовыми актами, регламентирующими Порядок проведения ГИА, методическими документами Федеральной службы по надзору в сфере образования и науки (далее – Рособрнадзор), рекомендуемыми к использованию при организации и проведении ГИА;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настоящей инструкцией.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Член ГЭК информируется ответственным за проведение ГИА в общеобразовательной организации, работником которой он является (либо лицом, ответственным за проведение ГИА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МОУО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), под подпись о ср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оках, местах и порядке проведения ГИА,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работников ППЭ, нарушивших Порядок проведения ГИА.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подготовительном этапе проведения ГВЭ член ГЭК проводит проверку готовности ППЭ не позднее чем за две недели до начала экзаменов (по решению председателя ГЭК).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день проведения ГВЭ не позднее 07.30 по местному времени член ГЭК обеспечивает доставку ЭМ в ППЭ (в случае если ЭМ доставляются на бумажных носителях)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или присутствует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и осуществляет контроль при организации печати ЭМ в штабе ППЭ из файлов, полученных из РЦОИ с соблюдением требований информационной безопасности  (в соответствии со схемой доставки ЭМ, утвержденной приказом министерства образования Ставропольского края),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передает ЭМ руководителю ППЭ по форме ППЭ-14- 01-ГВЭ «Акт приема-передачи экзаменационных материалов в ППЭ», а также осуществляет контроль хранения ЭМ до начала экзамена.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Член ГЭК также доставляет в ППЭ вместе с ЭМ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(в случае печати ЭМ в МОУО)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 пакет руководителя ППЭ (акты, протоколы, формы апелляции, списки распределения участников ГВЭ и работников ППЭ, ведомости, отчеты и др.), возвратные доставочные пакеты (далее – ВДП) для упаковки бланков после проведения экзамена.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Оставляет все свои личные вещи в месте для хранения личных вещей, организованном в штабе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Организация работы в день проведения ГВЭ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До начала экзамена член ГЭК: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присутствует при проведении руководителем ППЭ инструктажа по процедуре проведения ГВЭ для работников ППЭ, который начинается не ранее 08:15 по местному времени;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присутствует при организации входа участников ГВЭ в ППЭ и осуществляет контроль за выполнением требования о запрете участникам ГВЭ иметь при себе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разрешенных к использ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ованию для выполнения заданий КИМ по соответствующим учебным предметам), в том числе осуществляет контроль за организацией сдачи запрещенных средств, а также иных вещей в специально выделенном до входа в ППЭ месте для хранения личных вещей участников ГВЭ;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контролирует вход работников ППЭ, в том числе соблюдение ими требований к хранению личных вещей и наличию запрещенных средств в ППЭ;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отказа участника ГВЭ от сдачи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средств связи, электронно-вычислительной техники, фото-, аудио- и видеоаппаратуры, справочных материалов, письменных заметок и иных средств хранения и передачи информации (за исключением средств обучения и воспитания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разрешенных к использованию для выполнения заданий КИМ по соответствующим учебным предметам) – составляет акт 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недопуске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указанного участника ГВЭ в ППЭ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(форма ППЭ-24)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Указанный акт подписывают член ГЭК 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участник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ГВЭ, отказавшийся от сдачи запрещенного средства. Акт составляется в двух экземплярах в свободной форме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Первый экземпляр член ГЭК оставляет у себя для передачи председателю ГЭК, второй передает участнику ГВЭ. Повторно к участию в ГВЭ по данному учебному предмету в резервные сроки указанный участник ГВЭ может быть допущен только по решению председателя ГЭК;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отсутствия у участника ГВЭ документа, удостоверяющего личность, при наличии его в списках распределения в данный ППЭ – присутствует при подтверждении его личности сопровождающим по форме ППЭ-20 «Акт об идентификации личности участника ГИА»;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отсутствии участника ГВЭ в списках распределения в данный ППЭ, – не допускает участника ГВЭ в ППЭ. При этом член ГЭК фиксирует данный факт для дальнейшего принятия решения.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Во время экзамена член ГЭК: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887"/>
        <w:numPr>
          <w:ilvl w:val="0"/>
          <w:numId w:val="1"/>
        </w:num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случае если участник ГВЭ опоздал на экзамен (экзамены начинаются в 10.00 по местному времени)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—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допускает участника ГВЭ в ППЭ к сдаче экзамена, при этом ук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азывает участнику ГВЭ на то, что время окончания экзамена, зафиксированное на доске (информационном стенде) организаторами, не продлевается, инструктаж, проводимый организаторами, не проводится (за исключением, когда в аудитории нет других участников ГВЭ).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Участникам экзамена, опоздавшим на экзамен, рекомендуется выдать распечатанную инструкцию для участника ГВЭ, зачитываемую организатором в аудитории перед началом экзамена под подпись об ознакомлении (например, на листе бумаги формата 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опоздавшие участники экзамена делаю</w:t>
      </w:r>
      <w:bookmarkStart w:id="0" w:name="_GoBack"/>
      <w:r>
        <w:rPr>
          <w:highlight w:val="white"/>
        </w:rPr>
      </w:r>
      <w:bookmarkEnd w:id="0"/>
      <w:r>
        <w:rPr>
          <w:rFonts w:ascii="Times New Roman" w:hAnsi="Times New Roman" w:cs="Times New Roman"/>
          <w:sz w:val="28"/>
          <w:szCs w:val="28"/>
          <w:highlight w:val="white"/>
        </w:rPr>
        <w:t xml:space="preserve">т запись о том, что они ознакомлены с порядком проведения экзамена и с установленной ответственностью за нарушение Порядка).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Составляет 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кт в св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ободной форме. Указанный акт подписывает участник ГВЭ, руководитель ППЭ и член ГЭК.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7"/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если в течение двух часов от начала экзамена (экзамены начинаются в 10.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00 по местному времени) ни один из участников ГВЭ, распределенных в ППЭ и (или) отдельные аудитории ППЭ, не явился в ППЭ (отдельные аудитории ППЭ), – по согласованию с председателем ГЭК принимает решение об остановке экзамена в ППЭ или отдельных аудиториях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ППЭ. По факту остановки экзамена в ППЭ или отдельных аудиториях ППЭ составляет акт, который в тот же день передается председателю ГЭК для принятия решения о повторном допуске таких участников ГВЭ к сдаче экзамена по соответствующему учебному предмету.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7"/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Присутствует в аудитории при организации копирования в увеличенном размере ЭМ для слабовидящих участников ГВЭ с ограниченными возможностями здоровья, слабовидящих участников ГВЭ – детей-инвалидов и инвалидов.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7"/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Контролирует соблюдение Порядка проведения ГИА в ППЭ, в том числе не допускает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наличие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ППЭ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участник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ГВЭ, организатор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ассистент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медицински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работник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экзаменатор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-собеседник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средств связи, электронно-вычислительн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техник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фото-, аудио-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видеоаппаратур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справочны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материал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письменны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замет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 ины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средств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7"/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 допускает использование средств связи, электронн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о-вычислительной техники, фото-, аудио- и видеоаппаратуры, справочных материалов, письменных заметок и иных средств хранения и передачи информации руководителем организации, в помещениях которой организован ППЭ, или уполномоченным им лицом, руководителем 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ПЭ, членами ГЭК, техническими специалистами, сотрудниками, осуществляющими охрану правопорядка, и (или) сотрудниками органов внутренних дел (полиции), аккредитованными представителями средств массовой информации и общественными наблюдателями, должностными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лицами Рособрнадзора, иными лицами, определенными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Рособрнадзором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должностными лицами органа исполнительной власти субъекта Российской Федерации, осуществляющего переданные полномочия Российской Федерации в сфере образования, вне штаба ППЭ и в личных целях.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7"/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нарушения требований Порядка проведения ГИА: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7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составляет акт об удалении из ППЭ по форме ППЭ-21 «Акт об удалении участника экзамена из ППЭ» в двух экземплярах в штабе ППЭ в зоне видимости камер видеонаблюдения, в том числе совместно с руководителем ППЭ и ответственным организатором в аудитории;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7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выдает один экземпляр акта об удалении из ППЭ лицу, нарушившему Порядок проведения ГИА;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7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удаляет лиц, допустивших нарушение требований Порядка проведения ГИА, из ППЭ;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7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дополнительно осуществляет контроль соблюдения организаторами требований Порядка проведения ГИА о проставлении в соответствующем поле бланка участника ГВЭ отметки об удалении с экзамена (в случае удаления участников ГВЭ).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7"/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досрочного завершения экзамена участником ГВЭ: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7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приглашению организатора вне аудитории проходит в медицинский кабинет;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7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информирует участника ГВЭ о процедуре досрочного завершения экзамена по объективным причинам;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7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ри согласии участника ГВЭ досрочно завершить экзамен совместно с медицинским работником составляет акт о досрочном завершении экзамена по объективным причинам в двух экземплярах по форме ППЭ-22 «Акт о досрочном завершении экзамена по объективным причинам»;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7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выдает один экземпляр акта лицу, досрочно завершившему экзамен по объективным причинам;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7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дополнительно осуществляет контроль соблюдения организаторами требований Порядка проведения ГИА о проставлении в соответствующем поле бланка участника ГВЭ отметки о досрочном завершении экзамена по объективным причинам.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7"/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В случае технического сбоя при сдаче ГВЭ в устной форме принимает решение о том, что участник ГВЭ не завершил экзамен по объективным причинам, с оформлением соответствующего акта (форма ППЭ-22 «Акт о досрочном завершении экзамена по объективным причинам»).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887"/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подачи участником ГВЭ апелляции о нарушении Порядка проведения ГИА (апелляция может быть подана участником ГИА только до момента выхода из ППЭ):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7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принимает от участника ГВЭ в штабе ППЭ апелляцию о нарушении Порядка проведения ГИА в двух экземплярах по форме ППЭ-02 «Апелляция о нарушении порядка проведения ГИА» в зоне видимости камер видеонаблюдения;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7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организует проведение проверки изложенных в апелляции сведений о нарушении Порядка проведения ГИА при участии организаторов, технических специалистов, экзаменаторов-собеседников (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наличии), не задействованных в аудитории, в которой сдавал экзамен участник ГВЭ, подавший указанную апелляцию, общественных наблюдателей (при наличии), сотрудников, осуществляющих охрану правопорядка, медицинских работников, ассистентов (при наличии);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7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итогам проведенной проверки заполняет протокол рассмотрения апелляции о нарушении Порядка проведения ГИА в штабе ППЭ по форме ППЭ-03 «Протокол рассмотрения апелляции о нарушении порядка проведения ГИА» в зоне видимости камер видеонаблюдения.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10) В случае отсутствия средств видеонаблюдения, неисправного состояния или отключения указанных средств во время проведения экзамена, которое приравнивается к отсутствию видеозаписи экзамена: по факту неисправног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состояния, отключения средств видеонаблюдения или отсутствия видеозаписи экзаменов по согласованию с председателем ГЭК член ГЭК принимает решение об остановке экзамена в ППЭ или отдельных аудиториях ППЭ, членом ГЭК составляется акт, который в тот же день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передается председателю ГЭК.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11) Оказывает содействие руководителю ППЭ в решении возникающих в процессе экзамена ситуаций.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По окончании проведения ГВЭ член ГЭК: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 Присутствует при переносе ассистентом ответов на задания КИМ, выполненных слепыми и слабовидящими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участниками ГВЭ, бланках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увеличенного размера (ДБО увеличенного размера), черновиках, а также ответов на задания КИМ, выполненных участниками ГВЭ на компьютере, в бланки ответов, а также в ДБО (при необходимости). Перенос ответов в бланки производится ассист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ентом после того, как участник ГИА завершил экзамен. Перенос осуществляется в полном соответствии с ответами участников ГВЭ. При переносе ответов в бланки стандартного размера в поле «Подпись участника» ассистент пишет «Копия верна» и ставит свою подпись.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2) Осуществляет контроль за получением руководителем ППЭ от всех ответственных организаторов в аудитории, а также от технических специалистов в штабе ППЭ за специально подготовленным столом, находящимся в зоне видимости камер видеонаблюдения: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запечатанных ВДП с бланками. Бланк ответов при проведении ГВЭ в устной форме необходим для полноценной обработки комплекта бланков участника ГВЭ и не используется участником ГВЭ для за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писи ответов на задания. На ВДП должна быть представлена следующая информация: код региона, номер ППЭ (наименование и адрес), номер аудитории, код учебного предмета, название учебного предмета, по которому проводится ГВЭ, форма ГВЭ (письменная или устная);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запечатанных конвертов с КИМ;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запечатанных конвертов с использованными черновиками;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неиспользованных (или имеющих полиграфические дефекты) бланков;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неиспользованных ДБО;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неиспользованных черновиков;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запечатанных конвертов с электронными (внешними) носителями с записанными на них файлами, содержащими ответы участников ГВЭ на задания КИМ (при проведении ГВЭ в устной форме) (передаются техническим специалистом);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форм ППЭ (ППЭ-05-02-ГВЭ «Протокол проведения ГВЭ в аудитории»; ППЭ-12-02 «Ведомость коррекции персональных данных участников экзамена в аудитории»; ППЭ-12-04-МАШ «Ведомость учета времени отсутствия участников экзамена в аудитории»);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служебных записок (при наличии).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Специально предусмотренные тетради для записи ответов на задания КИМ, выполненные слепыми участниками ГВЭ рельефно-точечным шрифтом Брайля, и бланки передаются в Комиссию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тифлопереводчиков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которая работает в специально выделенном и оборудованном помещении (аудитории) в ППЭ, РЦОИ (в соответствии с организационно-технологической схемой проведения ГИА, утвержденной министерством образования Ставропольского края).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3) Получает от руководителя ППЭ все необходимые материалы по форме ППЭ-14-01- ГВЭ «Акт приема-передачи экзаменационных материалов в ППЭ».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4) Совместно с руководителем ППЭ заполняет формы: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ППЭ 13-01-ГВЭ «Протокол проведения ГВЭ в ППЭ»;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ППЭ-14-01-ГВЭ «Акт приема-передачи экзаменационных материалов в ППЭ»;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ППЭ-14-02-ГВЭ «Ведомость учета экзаменационных материалов».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5) 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оставляет отчет о проведении ГВЭ в ППЭ (форма ППЭ-10), который в тот же день передается в ГЭК. Если в ППЭ проводятся ЕГЭ и ГВЭ в один день, то отдельный отчет ППЭ-10 о проведении ГВЭ составлять не нужно. Данные о проведении ЕГЭ и ГВЭ вносятся в один отчет.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6) Нап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равляет в тот же день запечатанные ВДП с бланками, запечатанные конверты с КИМ, запечатанные конверты с электронными (внешними) носителями с файлами, содержащими ответы участников ГВЭ на задания КИМ (при проведении ГВЭ в устной форме) (при наличии) в РЦОИ.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trike/>
          <w:sz w:val="28"/>
          <w:szCs w:val="28"/>
          <w:highlight w:val="white"/>
        </w:rPr>
      </w:pPr>
      <w:r>
        <w:rPr>
          <w:rFonts w:ascii="Times New Roman" w:hAnsi="Times New Roman" w:cs="Times New Roman"/>
          <w:strike/>
          <w:sz w:val="28"/>
          <w:szCs w:val="28"/>
          <w:highlight w:val="white"/>
        </w:rPr>
      </w:r>
      <w:r>
        <w:rPr>
          <w:rFonts w:ascii="Times New Roman" w:hAnsi="Times New Roman" w:cs="Times New Roman"/>
          <w:strike/>
          <w:sz w:val="28"/>
          <w:szCs w:val="28"/>
          <w:highlight w:val="white"/>
        </w:rPr>
      </w:r>
      <w:r>
        <w:rPr>
          <w:rFonts w:ascii="Times New Roman" w:hAnsi="Times New Roman" w:cs="Times New Roman"/>
          <w:strike/>
          <w:sz w:val="28"/>
          <w:szCs w:val="28"/>
          <w:highlight w:val="white"/>
        </w:rPr>
      </w:r>
    </w:p>
    <w:sectPr>
      <w:headerReference w:type="default" r:id="rId9"/>
      <w:footnotePr/>
      <w:endnotePr/>
      <w:type w:val="nextPage"/>
      <w:pgSz w:w="11906" w:h="16838" w:orient="portrait"/>
      <w:pgMar w:top="1418" w:right="567" w:bottom="1134" w:left="1985" w:header="709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Noto Sans CJK SC">
    <w:panose1 w:val="020B0502040504020204"/>
  </w:font>
  <w:font w:name="Lohit Devanagari">
    <w:panose1 w:val="020B0600000000000000"/>
  </w:font>
  <w:font w:name="Liberation San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53093463"/>
      <w:docPartObj>
        <w:docPartGallery w:val="Page Numbers (Top of Page)"/>
        <w:docPartUnique w:val="true"/>
      </w:docPartObj>
      <w:rPr/>
    </w:sdtPr>
    <w:sdtContent>
      <w:p>
        <w:pPr>
          <w:pStyle w:val="890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5</w:t>
        </w:r>
        <w:r>
          <w:fldChar w:fldCharType="end"/>
        </w:r>
        <w:r/>
      </w:p>
    </w:sdtContent>
  </w:sdt>
  <w:p>
    <w:pPr>
      <w:pStyle w:val="89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709"/>
    <w:link w:val="700"/>
    <w:uiPriority w:val="9"/>
    <w:rPr>
      <w:rFonts w:ascii="Arial" w:hAnsi="Arial" w:eastAsia="Arial" w:cs="Arial"/>
      <w:sz w:val="40"/>
      <w:szCs w:val="40"/>
    </w:rPr>
  </w:style>
  <w:style w:type="character" w:styleId="683">
    <w:name w:val="Heading 2 Char"/>
    <w:basedOn w:val="709"/>
    <w:link w:val="701"/>
    <w:uiPriority w:val="9"/>
    <w:rPr>
      <w:rFonts w:ascii="Arial" w:hAnsi="Arial" w:eastAsia="Arial" w:cs="Arial"/>
      <w:sz w:val="34"/>
    </w:rPr>
  </w:style>
  <w:style w:type="character" w:styleId="684">
    <w:name w:val="Heading 3 Char"/>
    <w:basedOn w:val="709"/>
    <w:link w:val="702"/>
    <w:uiPriority w:val="9"/>
    <w:rPr>
      <w:rFonts w:ascii="Arial" w:hAnsi="Arial" w:eastAsia="Arial" w:cs="Arial"/>
      <w:sz w:val="30"/>
      <w:szCs w:val="30"/>
    </w:rPr>
  </w:style>
  <w:style w:type="character" w:styleId="685">
    <w:name w:val="Heading 4 Char"/>
    <w:basedOn w:val="709"/>
    <w:link w:val="703"/>
    <w:uiPriority w:val="9"/>
    <w:rPr>
      <w:rFonts w:ascii="Arial" w:hAnsi="Arial" w:eastAsia="Arial" w:cs="Arial"/>
      <w:b/>
      <w:bCs/>
      <w:sz w:val="26"/>
      <w:szCs w:val="26"/>
    </w:rPr>
  </w:style>
  <w:style w:type="character" w:styleId="686">
    <w:name w:val="Heading 5 Char"/>
    <w:basedOn w:val="709"/>
    <w:link w:val="704"/>
    <w:uiPriority w:val="9"/>
    <w:rPr>
      <w:rFonts w:ascii="Arial" w:hAnsi="Arial" w:eastAsia="Arial" w:cs="Arial"/>
      <w:b/>
      <w:bCs/>
      <w:sz w:val="24"/>
      <w:szCs w:val="24"/>
    </w:rPr>
  </w:style>
  <w:style w:type="character" w:styleId="687">
    <w:name w:val="Heading 6 Char"/>
    <w:basedOn w:val="709"/>
    <w:link w:val="705"/>
    <w:uiPriority w:val="9"/>
    <w:rPr>
      <w:rFonts w:ascii="Arial" w:hAnsi="Arial" w:eastAsia="Arial" w:cs="Arial"/>
      <w:b/>
      <w:bCs/>
      <w:sz w:val="22"/>
      <w:szCs w:val="22"/>
    </w:rPr>
  </w:style>
  <w:style w:type="character" w:styleId="688">
    <w:name w:val="Heading 7 Char"/>
    <w:basedOn w:val="709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8 Char"/>
    <w:basedOn w:val="709"/>
    <w:link w:val="707"/>
    <w:uiPriority w:val="9"/>
    <w:rPr>
      <w:rFonts w:ascii="Arial" w:hAnsi="Arial" w:eastAsia="Arial" w:cs="Arial"/>
      <w:i/>
      <w:iCs/>
      <w:sz w:val="22"/>
      <w:szCs w:val="22"/>
    </w:rPr>
  </w:style>
  <w:style w:type="character" w:styleId="690">
    <w:name w:val="Heading 9 Char"/>
    <w:basedOn w:val="709"/>
    <w:link w:val="708"/>
    <w:uiPriority w:val="9"/>
    <w:rPr>
      <w:rFonts w:ascii="Arial" w:hAnsi="Arial" w:eastAsia="Arial" w:cs="Arial"/>
      <w:i/>
      <w:iCs/>
      <w:sz w:val="21"/>
      <w:szCs w:val="21"/>
    </w:rPr>
  </w:style>
  <w:style w:type="character" w:styleId="691">
    <w:name w:val="Title Char"/>
    <w:basedOn w:val="709"/>
    <w:link w:val="722"/>
    <w:uiPriority w:val="10"/>
    <w:rPr>
      <w:sz w:val="48"/>
      <w:szCs w:val="48"/>
    </w:rPr>
  </w:style>
  <w:style w:type="character" w:styleId="692">
    <w:name w:val="Subtitle Char"/>
    <w:basedOn w:val="709"/>
    <w:link w:val="724"/>
    <w:uiPriority w:val="11"/>
    <w:rPr>
      <w:sz w:val="24"/>
      <w:szCs w:val="24"/>
    </w:rPr>
  </w:style>
  <w:style w:type="character" w:styleId="693">
    <w:name w:val="Quote Char"/>
    <w:link w:val="726"/>
    <w:uiPriority w:val="29"/>
    <w:rPr>
      <w:i/>
    </w:rPr>
  </w:style>
  <w:style w:type="character" w:styleId="694">
    <w:name w:val="Intense Quote Char"/>
    <w:link w:val="728"/>
    <w:uiPriority w:val="30"/>
    <w:rPr>
      <w:i/>
    </w:rPr>
  </w:style>
  <w:style w:type="character" w:styleId="695">
    <w:name w:val="Header Char"/>
    <w:basedOn w:val="709"/>
    <w:link w:val="890"/>
    <w:uiPriority w:val="99"/>
  </w:style>
  <w:style w:type="character" w:styleId="696">
    <w:name w:val="Caption Char"/>
    <w:basedOn w:val="709"/>
    <w:link w:val="884"/>
    <w:uiPriority w:val="35"/>
    <w:rPr>
      <w:b/>
      <w:bCs/>
      <w:color w:val="4f81bd" w:themeColor="accent1"/>
      <w:sz w:val="18"/>
      <w:szCs w:val="18"/>
    </w:rPr>
  </w:style>
  <w:style w:type="character" w:styleId="697">
    <w:name w:val="Footnote Text Char"/>
    <w:link w:val="886"/>
    <w:uiPriority w:val="99"/>
    <w:rPr>
      <w:sz w:val="18"/>
    </w:rPr>
  </w:style>
  <w:style w:type="character" w:styleId="698">
    <w:name w:val="Endnote Text Char"/>
    <w:link w:val="862"/>
    <w:uiPriority w:val="99"/>
    <w:rPr>
      <w:sz w:val="20"/>
    </w:rPr>
  </w:style>
  <w:style w:type="paragraph" w:styleId="699" w:default="1">
    <w:name w:val="Normal"/>
    <w:qFormat/>
    <w:pPr>
      <w:spacing w:after="160" w:line="259" w:lineRule="auto"/>
    </w:pPr>
  </w:style>
  <w:style w:type="paragraph" w:styleId="700">
    <w:name w:val="Heading 1"/>
    <w:basedOn w:val="699"/>
    <w:next w:val="699"/>
    <w:link w:val="71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01">
    <w:name w:val="Heading 2"/>
    <w:basedOn w:val="699"/>
    <w:next w:val="699"/>
    <w:link w:val="71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2">
    <w:name w:val="Heading 3"/>
    <w:basedOn w:val="699"/>
    <w:next w:val="699"/>
    <w:link w:val="71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3">
    <w:name w:val="Heading 4"/>
    <w:basedOn w:val="699"/>
    <w:next w:val="699"/>
    <w:link w:val="71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699"/>
    <w:next w:val="699"/>
    <w:link w:val="71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5">
    <w:name w:val="Heading 6"/>
    <w:basedOn w:val="699"/>
    <w:next w:val="699"/>
    <w:link w:val="7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06">
    <w:name w:val="Heading 7"/>
    <w:basedOn w:val="699"/>
    <w:next w:val="699"/>
    <w:link w:val="71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07">
    <w:name w:val="Heading 8"/>
    <w:basedOn w:val="699"/>
    <w:next w:val="699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08">
    <w:name w:val="Heading 9"/>
    <w:basedOn w:val="699"/>
    <w:next w:val="699"/>
    <w:link w:val="72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 w:default="1">
    <w:name w:val="Default Paragraph Font"/>
    <w:uiPriority w:val="1"/>
    <w:semiHidden/>
    <w:unhideWhenUsed/>
  </w:style>
  <w:style w:type="table" w:styleId="71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1" w:default="1">
    <w:name w:val="No List"/>
    <w:uiPriority w:val="99"/>
    <w:semiHidden/>
    <w:unhideWhenUsed/>
  </w:style>
  <w:style w:type="character" w:styleId="712" w:customStyle="1">
    <w:name w:val="Заголовок 1 Знак"/>
    <w:basedOn w:val="709"/>
    <w:link w:val="700"/>
    <w:uiPriority w:val="9"/>
    <w:rPr>
      <w:rFonts w:ascii="Arial" w:hAnsi="Arial" w:eastAsia="Arial" w:cs="Arial"/>
      <w:sz w:val="40"/>
      <w:szCs w:val="40"/>
    </w:rPr>
  </w:style>
  <w:style w:type="character" w:styleId="713" w:customStyle="1">
    <w:name w:val="Заголовок 2 Знак"/>
    <w:basedOn w:val="709"/>
    <w:link w:val="701"/>
    <w:uiPriority w:val="9"/>
    <w:rPr>
      <w:rFonts w:ascii="Arial" w:hAnsi="Arial" w:eastAsia="Arial" w:cs="Arial"/>
      <w:sz w:val="34"/>
    </w:rPr>
  </w:style>
  <w:style w:type="character" w:styleId="714" w:customStyle="1">
    <w:name w:val="Заголовок 3 Знак"/>
    <w:basedOn w:val="709"/>
    <w:link w:val="702"/>
    <w:uiPriority w:val="9"/>
    <w:rPr>
      <w:rFonts w:ascii="Arial" w:hAnsi="Arial" w:eastAsia="Arial" w:cs="Arial"/>
      <w:sz w:val="30"/>
      <w:szCs w:val="30"/>
    </w:rPr>
  </w:style>
  <w:style w:type="character" w:styleId="715" w:customStyle="1">
    <w:name w:val="Заголовок 4 Знак"/>
    <w:basedOn w:val="709"/>
    <w:link w:val="703"/>
    <w:uiPriority w:val="9"/>
    <w:rPr>
      <w:rFonts w:ascii="Arial" w:hAnsi="Arial" w:eastAsia="Arial" w:cs="Arial"/>
      <w:b/>
      <w:bCs/>
      <w:sz w:val="26"/>
      <w:szCs w:val="26"/>
    </w:rPr>
  </w:style>
  <w:style w:type="character" w:styleId="716" w:customStyle="1">
    <w:name w:val="Заголовок 5 Знак"/>
    <w:basedOn w:val="709"/>
    <w:link w:val="704"/>
    <w:uiPriority w:val="9"/>
    <w:rPr>
      <w:rFonts w:ascii="Arial" w:hAnsi="Arial" w:eastAsia="Arial" w:cs="Arial"/>
      <w:b/>
      <w:bCs/>
      <w:sz w:val="24"/>
      <w:szCs w:val="24"/>
    </w:rPr>
  </w:style>
  <w:style w:type="character" w:styleId="717" w:customStyle="1">
    <w:name w:val="Заголовок 6 Знак"/>
    <w:basedOn w:val="709"/>
    <w:link w:val="705"/>
    <w:uiPriority w:val="9"/>
    <w:rPr>
      <w:rFonts w:ascii="Arial" w:hAnsi="Arial" w:eastAsia="Arial" w:cs="Arial"/>
      <w:b/>
      <w:bCs/>
      <w:sz w:val="22"/>
      <w:szCs w:val="22"/>
    </w:rPr>
  </w:style>
  <w:style w:type="character" w:styleId="718" w:customStyle="1">
    <w:name w:val="Заголовок 7 Знак"/>
    <w:basedOn w:val="709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9" w:customStyle="1">
    <w:name w:val="Заголовок 8 Знак"/>
    <w:basedOn w:val="709"/>
    <w:link w:val="707"/>
    <w:uiPriority w:val="9"/>
    <w:rPr>
      <w:rFonts w:ascii="Arial" w:hAnsi="Arial" w:eastAsia="Arial" w:cs="Arial"/>
      <w:i/>
      <w:iCs/>
      <w:sz w:val="22"/>
      <w:szCs w:val="22"/>
    </w:rPr>
  </w:style>
  <w:style w:type="character" w:styleId="720" w:customStyle="1">
    <w:name w:val="Заголовок 9 Знак"/>
    <w:basedOn w:val="709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21">
    <w:name w:val="No Spacing"/>
    <w:uiPriority w:val="1"/>
    <w:qFormat/>
  </w:style>
  <w:style w:type="paragraph" w:styleId="722">
    <w:name w:val="Title"/>
    <w:basedOn w:val="699"/>
    <w:next w:val="882"/>
    <w:link w:val="723"/>
    <w:qFormat/>
    <w:pPr>
      <w:keepNext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character" w:styleId="723" w:customStyle="1">
    <w:name w:val="Название Знак"/>
    <w:basedOn w:val="709"/>
    <w:link w:val="722"/>
    <w:uiPriority w:val="10"/>
    <w:rPr>
      <w:sz w:val="48"/>
      <w:szCs w:val="48"/>
    </w:rPr>
  </w:style>
  <w:style w:type="paragraph" w:styleId="724">
    <w:name w:val="Subtitle"/>
    <w:basedOn w:val="699"/>
    <w:next w:val="699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 w:customStyle="1">
    <w:name w:val="Подзаголовок Знак"/>
    <w:basedOn w:val="709"/>
    <w:link w:val="724"/>
    <w:uiPriority w:val="11"/>
    <w:rPr>
      <w:sz w:val="24"/>
      <w:szCs w:val="24"/>
    </w:rPr>
  </w:style>
  <w:style w:type="paragraph" w:styleId="726">
    <w:name w:val="Quote"/>
    <w:basedOn w:val="699"/>
    <w:next w:val="699"/>
    <w:link w:val="727"/>
    <w:uiPriority w:val="29"/>
    <w:qFormat/>
    <w:pPr>
      <w:ind w:left="720" w:right="720"/>
    </w:pPr>
    <w:rPr>
      <w:i/>
    </w:rPr>
  </w:style>
  <w:style w:type="character" w:styleId="727" w:customStyle="1">
    <w:name w:val="Цитата 2 Знак"/>
    <w:link w:val="726"/>
    <w:uiPriority w:val="29"/>
    <w:rPr>
      <w:i/>
    </w:rPr>
  </w:style>
  <w:style w:type="paragraph" w:styleId="728">
    <w:name w:val="Intense Quote"/>
    <w:basedOn w:val="699"/>
    <w:next w:val="699"/>
    <w:link w:val="72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 w:customStyle="1">
    <w:name w:val="Выделенная цитата Знак"/>
    <w:link w:val="728"/>
    <w:uiPriority w:val="30"/>
    <w:rPr>
      <w:i/>
    </w:rPr>
  </w:style>
  <w:style w:type="character" w:styleId="730" w:customStyle="1">
    <w:name w:val="Верхний колонтитул Знак1"/>
    <w:basedOn w:val="709"/>
    <w:link w:val="890"/>
    <w:uiPriority w:val="99"/>
  </w:style>
  <w:style w:type="character" w:styleId="731" w:customStyle="1">
    <w:name w:val="Footer Char"/>
    <w:basedOn w:val="709"/>
    <w:uiPriority w:val="99"/>
  </w:style>
  <w:style w:type="character" w:styleId="732" w:customStyle="1">
    <w:name w:val="Нижний колонтитул Знак1"/>
    <w:link w:val="891"/>
    <w:uiPriority w:val="99"/>
  </w:style>
  <w:style w:type="table" w:styleId="733">
    <w:name w:val="Table Grid"/>
    <w:basedOn w:val="710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4" w:customStyle="1">
    <w:name w:val="Table Grid Light"/>
    <w:basedOn w:val="71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5" w:customStyle="1">
    <w:name w:val="Plain Table 1"/>
    <w:basedOn w:val="71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 w:customStyle="1">
    <w:name w:val="Plain Table 2"/>
    <w:basedOn w:val="710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 w:customStyle="1">
    <w:name w:val="Plain Table 3"/>
    <w:basedOn w:val="71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 w:customStyle="1">
    <w:name w:val="Plain Table 4"/>
    <w:basedOn w:val="71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Plain Table 5"/>
    <w:basedOn w:val="71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1 Light"/>
    <w:basedOn w:val="710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1"/>
    <w:basedOn w:val="710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2"/>
    <w:basedOn w:val="710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3"/>
    <w:basedOn w:val="710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4"/>
    <w:basedOn w:val="710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5"/>
    <w:basedOn w:val="710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6"/>
    <w:basedOn w:val="710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2"/>
    <w:basedOn w:val="71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1"/>
    <w:basedOn w:val="710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2"/>
    <w:basedOn w:val="710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3"/>
    <w:basedOn w:val="710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4"/>
    <w:basedOn w:val="710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5"/>
    <w:basedOn w:val="710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6"/>
    <w:basedOn w:val="710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"/>
    <w:basedOn w:val="71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1"/>
    <w:basedOn w:val="710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2"/>
    <w:basedOn w:val="710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3"/>
    <w:basedOn w:val="710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4"/>
    <w:basedOn w:val="710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5"/>
    <w:basedOn w:val="710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6"/>
    <w:basedOn w:val="710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4"/>
    <w:basedOn w:val="710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 w:customStyle="1">
    <w:name w:val="Grid Table 4 - Accent 1"/>
    <w:basedOn w:val="710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3" w:customStyle="1">
    <w:name w:val="Grid Table 4 - Accent 2"/>
    <w:basedOn w:val="710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4" w:customStyle="1">
    <w:name w:val="Grid Table 4 - Accent 3"/>
    <w:basedOn w:val="710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5" w:customStyle="1">
    <w:name w:val="Grid Table 4 - Accent 4"/>
    <w:basedOn w:val="710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6" w:customStyle="1">
    <w:name w:val="Grid Table 4 - Accent 5"/>
    <w:basedOn w:val="710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7" w:customStyle="1">
    <w:name w:val="Grid Table 4 - Accent 6"/>
    <w:basedOn w:val="710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8" w:customStyle="1">
    <w:name w:val="Grid Table 5 Dark"/>
    <w:basedOn w:val="71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- Accent 1"/>
    <w:basedOn w:val="71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2"/>
    <w:basedOn w:val="71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3"/>
    <w:basedOn w:val="71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- Accent 4"/>
    <w:basedOn w:val="71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5"/>
    <w:basedOn w:val="71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6"/>
    <w:basedOn w:val="71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6 Colorful"/>
    <w:basedOn w:val="710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6" w:customStyle="1">
    <w:name w:val="Grid Table 6 Colorful - Accent 1"/>
    <w:basedOn w:val="710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7" w:customStyle="1">
    <w:name w:val="Grid Table 6 Colorful - Accent 2"/>
    <w:basedOn w:val="710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8" w:customStyle="1">
    <w:name w:val="Grid Table 6 Colorful - Accent 3"/>
    <w:basedOn w:val="710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9" w:customStyle="1">
    <w:name w:val="Grid Table 6 Colorful - Accent 4"/>
    <w:basedOn w:val="710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0" w:customStyle="1">
    <w:name w:val="Grid Table 6 Colorful - Accent 5"/>
    <w:basedOn w:val="710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1" w:customStyle="1">
    <w:name w:val="Grid Table 6 Colorful - Accent 6"/>
    <w:basedOn w:val="710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2" w:customStyle="1">
    <w:name w:val="Grid Table 7 Colorful"/>
    <w:basedOn w:val="710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1"/>
    <w:basedOn w:val="710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2"/>
    <w:basedOn w:val="710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 w:customStyle="1">
    <w:name w:val="Grid Table 7 Colorful - Accent 3"/>
    <w:basedOn w:val="710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6" w:customStyle="1">
    <w:name w:val="Grid Table 7 Colorful - Accent 4"/>
    <w:basedOn w:val="710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7" w:customStyle="1">
    <w:name w:val="Grid Table 7 Colorful - Accent 5"/>
    <w:basedOn w:val="710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8" w:customStyle="1">
    <w:name w:val="Grid Table 7 Colorful - Accent 6"/>
    <w:basedOn w:val="710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9" w:customStyle="1">
    <w:name w:val="List Table 1 Light"/>
    <w:basedOn w:val="710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1"/>
    <w:basedOn w:val="710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2"/>
    <w:basedOn w:val="710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3"/>
    <w:basedOn w:val="710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4"/>
    <w:basedOn w:val="710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5"/>
    <w:basedOn w:val="710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6"/>
    <w:basedOn w:val="710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2"/>
    <w:basedOn w:val="710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1"/>
    <w:basedOn w:val="710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2"/>
    <w:basedOn w:val="710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3"/>
    <w:basedOn w:val="710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4"/>
    <w:basedOn w:val="710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5"/>
    <w:basedOn w:val="710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6"/>
    <w:basedOn w:val="710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3" w:customStyle="1">
    <w:name w:val="List Table 3"/>
    <w:basedOn w:val="71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1"/>
    <w:basedOn w:val="710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2"/>
    <w:basedOn w:val="710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3"/>
    <w:basedOn w:val="710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4"/>
    <w:basedOn w:val="710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5"/>
    <w:basedOn w:val="710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6"/>
    <w:basedOn w:val="710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"/>
    <w:basedOn w:val="71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1"/>
    <w:basedOn w:val="710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2"/>
    <w:basedOn w:val="710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3"/>
    <w:basedOn w:val="710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4"/>
    <w:basedOn w:val="710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5"/>
    <w:basedOn w:val="710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6"/>
    <w:basedOn w:val="710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5 Dark"/>
    <w:basedOn w:val="710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1"/>
    <w:basedOn w:val="710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2"/>
    <w:basedOn w:val="710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3"/>
    <w:basedOn w:val="710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4"/>
    <w:basedOn w:val="710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5"/>
    <w:basedOn w:val="710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6"/>
    <w:basedOn w:val="710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6 Colorful"/>
    <w:basedOn w:val="710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5" w:customStyle="1">
    <w:name w:val="List Table 6 Colorful - Accent 1"/>
    <w:basedOn w:val="710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6" w:customStyle="1">
    <w:name w:val="List Table 6 Colorful - Accent 2"/>
    <w:basedOn w:val="710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7" w:customStyle="1">
    <w:name w:val="List Table 6 Colorful - Accent 3"/>
    <w:basedOn w:val="710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8" w:customStyle="1">
    <w:name w:val="List Table 6 Colorful - Accent 4"/>
    <w:basedOn w:val="710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9" w:customStyle="1">
    <w:name w:val="List Table 6 Colorful - Accent 5"/>
    <w:basedOn w:val="710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30" w:customStyle="1">
    <w:name w:val="List Table 6 Colorful - Accent 6"/>
    <w:basedOn w:val="710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1" w:customStyle="1">
    <w:name w:val="List Table 7 Colorful"/>
    <w:basedOn w:val="710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1"/>
    <w:basedOn w:val="710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2"/>
    <w:basedOn w:val="710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st Table 7 Colorful - Accent 3"/>
    <w:basedOn w:val="710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5" w:customStyle="1">
    <w:name w:val="List Table 7 Colorful - Accent 4"/>
    <w:basedOn w:val="710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6" w:customStyle="1">
    <w:name w:val="List Table 7 Colorful - Accent 5"/>
    <w:basedOn w:val="710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7" w:customStyle="1">
    <w:name w:val="List Table 7 Colorful - Accent 6"/>
    <w:basedOn w:val="710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8" w:customStyle="1">
    <w:name w:val="Lined - Accent"/>
    <w:basedOn w:val="71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Lined - Accent 1"/>
    <w:basedOn w:val="71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40" w:customStyle="1">
    <w:name w:val="Lined - Accent 2"/>
    <w:basedOn w:val="71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Lined - Accent 3"/>
    <w:basedOn w:val="71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Lined - Accent 4"/>
    <w:basedOn w:val="71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Lined - Accent 5"/>
    <w:basedOn w:val="71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44" w:customStyle="1">
    <w:name w:val="Lined - Accent 6"/>
    <w:basedOn w:val="71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 &amp; Lined - Accent"/>
    <w:basedOn w:val="71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6" w:customStyle="1">
    <w:name w:val="Bordered &amp; Lined - Accent 1"/>
    <w:basedOn w:val="71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47" w:customStyle="1">
    <w:name w:val="Bordered &amp; Lined - Accent 2"/>
    <w:basedOn w:val="71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8" w:customStyle="1">
    <w:name w:val="Bordered &amp; Lined - Accent 3"/>
    <w:basedOn w:val="71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9" w:customStyle="1">
    <w:name w:val="Bordered &amp; Lined - Accent 4"/>
    <w:basedOn w:val="71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0" w:customStyle="1">
    <w:name w:val="Bordered &amp; Lined - Accent 5"/>
    <w:basedOn w:val="71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51" w:customStyle="1">
    <w:name w:val="Bordered &amp; Lined - Accent 6"/>
    <w:basedOn w:val="71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2" w:customStyle="1">
    <w:name w:val="Bordered"/>
    <w:basedOn w:val="710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3" w:customStyle="1">
    <w:name w:val="Bordered - Accent 1"/>
    <w:basedOn w:val="710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4" w:customStyle="1">
    <w:name w:val="Bordered - Accent 2"/>
    <w:basedOn w:val="710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5" w:customStyle="1">
    <w:name w:val="Bordered - Accent 3"/>
    <w:basedOn w:val="710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6" w:customStyle="1">
    <w:name w:val="Bordered - Accent 4"/>
    <w:basedOn w:val="710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7" w:customStyle="1">
    <w:name w:val="Bordered - Accent 5"/>
    <w:basedOn w:val="710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8" w:customStyle="1">
    <w:name w:val="Bordered - Accent 6"/>
    <w:basedOn w:val="710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9">
    <w:name w:val="Hyperlink"/>
    <w:uiPriority w:val="99"/>
    <w:unhideWhenUsed/>
    <w:rPr>
      <w:color w:val="0563c1" w:themeColor="hyperlink"/>
      <w:u w:val="single"/>
    </w:rPr>
  </w:style>
  <w:style w:type="character" w:styleId="860" w:customStyle="1">
    <w:name w:val="Текст сноски Знак1"/>
    <w:link w:val="886"/>
    <w:uiPriority w:val="99"/>
    <w:rPr>
      <w:sz w:val="18"/>
    </w:rPr>
  </w:style>
  <w:style w:type="character" w:styleId="861">
    <w:name w:val="footnote reference"/>
    <w:basedOn w:val="709"/>
    <w:uiPriority w:val="99"/>
    <w:unhideWhenUsed/>
    <w:rPr>
      <w:vertAlign w:val="superscript"/>
    </w:rPr>
  </w:style>
  <w:style w:type="paragraph" w:styleId="862">
    <w:name w:val="endnote text"/>
    <w:basedOn w:val="699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 w:customStyle="1">
    <w:name w:val="Текст концевой сноски Знак"/>
    <w:link w:val="862"/>
    <w:uiPriority w:val="99"/>
    <w:rPr>
      <w:sz w:val="20"/>
    </w:rPr>
  </w:style>
  <w:style w:type="character" w:styleId="864">
    <w:name w:val="endnote reference"/>
    <w:basedOn w:val="709"/>
    <w:uiPriority w:val="99"/>
    <w:semiHidden/>
    <w:unhideWhenUsed/>
    <w:rPr>
      <w:vertAlign w:val="superscript"/>
    </w:rPr>
  </w:style>
  <w:style w:type="paragraph" w:styleId="865">
    <w:name w:val="toc 1"/>
    <w:basedOn w:val="699"/>
    <w:next w:val="699"/>
    <w:uiPriority w:val="39"/>
    <w:unhideWhenUsed/>
    <w:pPr>
      <w:spacing w:after="57"/>
    </w:pPr>
  </w:style>
  <w:style w:type="paragraph" w:styleId="866">
    <w:name w:val="toc 2"/>
    <w:basedOn w:val="699"/>
    <w:next w:val="699"/>
    <w:uiPriority w:val="39"/>
    <w:unhideWhenUsed/>
    <w:pPr>
      <w:ind w:left="283"/>
      <w:spacing w:after="57"/>
    </w:pPr>
  </w:style>
  <w:style w:type="paragraph" w:styleId="867">
    <w:name w:val="toc 3"/>
    <w:basedOn w:val="699"/>
    <w:next w:val="699"/>
    <w:uiPriority w:val="39"/>
    <w:unhideWhenUsed/>
    <w:pPr>
      <w:ind w:left="567"/>
      <w:spacing w:after="57"/>
    </w:pPr>
  </w:style>
  <w:style w:type="paragraph" w:styleId="868">
    <w:name w:val="toc 4"/>
    <w:basedOn w:val="699"/>
    <w:next w:val="699"/>
    <w:uiPriority w:val="39"/>
    <w:unhideWhenUsed/>
    <w:pPr>
      <w:ind w:left="850"/>
      <w:spacing w:after="57"/>
    </w:pPr>
  </w:style>
  <w:style w:type="paragraph" w:styleId="869">
    <w:name w:val="toc 5"/>
    <w:basedOn w:val="699"/>
    <w:next w:val="699"/>
    <w:uiPriority w:val="39"/>
    <w:unhideWhenUsed/>
    <w:pPr>
      <w:ind w:left="1134"/>
      <w:spacing w:after="57"/>
    </w:pPr>
  </w:style>
  <w:style w:type="paragraph" w:styleId="870">
    <w:name w:val="toc 6"/>
    <w:basedOn w:val="699"/>
    <w:next w:val="699"/>
    <w:uiPriority w:val="39"/>
    <w:unhideWhenUsed/>
    <w:pPr>
      <w:ind w:left="1417"/>
      <w:spacing w:after="57"/>
    </w:pPr>
  </w:style>
  <w:style w:type="paragraph" w:styleId="871">
    <w:name w:val="toc 7"/>
    <w:basedOn w:val="699"/>
    <w:next w:val="699"/>
    <w:uiPriority w:val="39"/>
    <w:unhideWhenUsed/>
    <w:pPr>
      <w:ind w:left="1701"/>
      <w:spacing w:after="57"/>
    </w:pPr>
  </w:style>
  <w:style w:type="paragraph" w:styleId="872">
    <w:name w:val="toc 8"/>
    <w:basedOn w:val="699"/>
    <w:next w:val="699"/>
    <w:uiPriority w:val="39"/>
    <w:unhideWhenUsed/>
    <w:pPr>
      <w:ind w:left="1984"/>
      <w:spacing w:after="57"/>
    </w:pPr>
  </w:style>
  <w:style w:type="paragraph" w:styleId="873">
    <w:name w:val="toc 9"/>
    <w:basedOn w:val="699"/>
    <w:next w:val="699"/>
    <w:uiPriority w:val="39"/>
    <w:unhideWhenUsed/>
    <w:pPr>
      <w:ind w:left="2268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699"/>
    <w:next w:val="699"/>
    <w:uiPriority w:val="99"/>
    <w:unhideWhenUsed/>
    <w:pPr>
      <w:spacing w:after="0"/>
    </w:pPr>
  </w:style>
  <w:style w:type="character" w:styleId="876" w:customStyle="1">
    <w:name w:val="Текст сноски Знак"/>
    <w:basedOn w:val="709"/>
    <w:uiPriority w:val="99"/>
    <w:semiHidden/>
    <w:qFormat/>
    <w:rPr>
      <w:sz w:val="20"/>
      <w:szCs w:val="20"/>
    </w:rPr>
  </w:style>
  <w:style w:type="character" w:styleId="877" w:customStyle="1">
    <w:name w:val="Символ сноски"/>
    <w:basedOn w:val="709"/>
    <w:uiPriority w:val="99"/>
    <w:semiHidden/>
    <w:unhideWhenUsed/>
    <w:qFormat/>
    <w:rPr>
      <w:vertAlign w:val="superscript"/>
    </w:rPr>
  </w:style>
  <w:style w:type="character" w:styleId="878" w:customStyle="1">
    <w:name w:val="Привязка сноски"/>
    <w:rPr>
      <w:vertAlign w:val="superscript"/>
    </w:rPr>
  </w:style>
  <w:style w:type="character" w:styleId="879" w:customStyle="1">
    <w:name w:val="Текст выноски Знак"/>
    <w:basedOn w:val="709"/>
    <w:link w:val="888"/>
    <w:uiPriority w:val="99"/>
    <w:semiHidden/>
    <w:qFormat/>
    <w:rPr>
      <w:rFonts w:ascii="Segoe UI" w:hAnsi="Segoe UI" w:cs="Segoe UI"/>
      <w:sz w:val="18"/>
      <w:szCs w:val="18"/>
    </w:rPr>
  </w:style>
  <w:style w:type="character" w:styleId="880" w:customStyle="1">
    <w:name w:val="Верхний колонтитул Знак"/>
    <w:basedOn w:val="709"/>
    <w:uiPriority w:val="99"/>
    <w:qFormat/>
  </w:style>
  <w:style w:type="character" w:styleId="881" w:customStyle="1">
    <w:name w:val="Нижний колонтитул Знак"/>
    <w:basedOn w:val="709"/>
    <w:uiPriority w:val="99"/>
    <w:qFormat/>
  </w:style>
  <w:style w:type="paragraph" w:styleId="882">
    <w:name w:val="Body Text"/>
    <w:basedOn w:val="699"/>
    <w:pPr>
      <w:spacing w:after="140" w:line="276" w:lineRule="auto"/>
    </w:pPr>
  </w:style>
  <w:style w:type="paragraph" w:styleId="883">
    <w:name w:val="List"/>
    <w:basedOn w:val="882"/>
    <w:rPr>
      <w:rFonts w:cs="Lohit Devanagari"/>
    </w:rPr>
  </w:style>
  <w:style w:type="paragraph" w:styleId="884">
    <w:name w:val="Caption"/>
    <w:basedOn w:val="699"/>
    <w:link w:val="696"/>
    <w:qFormat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885">
    <w:name w:val="index heading"/>
    <w:basedOn w:val="699"/>
    <w:qFormat/>
    <w:pPr>
      <w:suppressLineNumbers/>
    </w:pPr>
    <w:rPr>
      <w:rFonts w:cs="Lohit Devanagari"/>
    </w:rPr>
  </w:style>
  <w:style w:type="paragraph" w:styleId="886">
    <w:name w:val="footnote text"/>
    <w:basedOn w:val="699"/>
    <w:link w:val="860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887">
    <w:name w:val="List Paragraph"/>
    <w:basedOn w:val="699"/>
    <w:uiPriority w:val="34"/>
    <w:qFormat/>
    <w:pPr>
      <w:contextualSpacing/>
      <w:ind w:left="720"/>
    </w:pPr>
  </w:style>
  <w:style w:type="paragraph" w:styleId="888">
    <w:name w:val="Balloon Text"/>
    <w:basedOn w:val="699"/>
    <w:link w:val="879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89" w:customStyle="1">
    <w:name w:val="Колонтитул"/>
    <w:basedOn w:val="699"/>
    <w:qFormat/>
  </w:style>
  <w:style w:type="paragraph" w:styleId="890">
    <w:name w:val="Header"/>
    <w:basedOn w:val="699"/>
    <w:link w:val="73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91">
    <w:name w:val="Footer"/>
    <w:basedOn w:val="699"/>
    <w:link w:val="73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9CFA6-3579-4EC4-9F4F-1AA3679BC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dc:description/>
  <dc:language>ru-RU</dc:language>
  <cp:lastModifiedBy>khvostikova-as</cp:lastModifiedBy>
  <cp:revision>64</cp:revision>
  <dcterms:created xsi:type="dcterms:W3CDTF">2023-02-17T06:23:00Z</dcterms:created>
  <dcterms:modified xsi:type="dcterms:W3CDTF">2025-03-21T10:02:30Z</dcterms:modified>
</cp:coreProperties>
</file>